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0" w:rsidRPr="0086032C" w:rsidRDefault="00243940" w:rsidP="008841B4">
      <w:pPr>
        <w:spacing w:after="0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 xml:space="preserve">HULLADÉKGAZDÁLKODÁSI KÖZSZOLGÁLTATÁSI RÉSZTEVÉKENYSÉG </w:t>
      </w:r>
    </w:p>
    <w:p w:rsidR="00243940" w:rsidRPr="0086032C" w:rsidRDefault="00243940" w:rsidP="008841B4">
      <w:pPr>
        <w:spacing w:after="0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 xml:space="preserve">SZÜNETELTETÉSÉVEL KAPCSOLATOS VÁLTOZÁSOK </w:t>
      </w:r>
    </w:p>
    <w:p w:rsidR="00243940" w:rsidRPr="0086032C" w:rsidRDefault="00243940" w:rsidP="008841B4">
      <w:pPr>
        <w:spacing w:after="0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>2025. január 01-től</w:t>
      </w:r>
    </w:p>
    <w:p w:rsidR="00243940" w:rsidRDefault="00243940" w:rsidP="008841B4">
      <w:pPr>
        <w:jc w:val="center"/>
        <w:rPr>
          <w:b/>
        </w:rPr>
      </w:pPr>
    </w:p>
    <w:p w:rsidR="00243940" w:rsidRPr="0086032C" w:rsidRDefault="00243940" w:rsidP="008841B4">
      <w:pPr>
        <w:shd w:val="clear" w:color="auto" w:fill="8EAADB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>SZÜNETELTETÉS FELTÉTELEI</w:t>
      </w:r>
    </w:p>
    <w:p w:rsidR="00243940" w:rsidRDefault="00243940" w:rsidP="008841B4">
      <w:pPr>
        <w:spacing w:after="263" w:line="249" w:lineRule="auto"/>
        <w:jc w:val="both"/>
      </w:pPr>
      <w:r>
        <w:t xml:space="preserve">Azon az ingatlanon, amelynek használója azt </w:t>
      </w:r>
    </w:p>
    <w:p w:rsidR="00243940" w:rsidRDefault="00243940" w:rsidP="008841B4">
      <w:pPr>
        <w:pStyle w:val="ListParagraph"/>
        <w:numPr>
          <w:ilvl w:val="0"/>
          <w:numId w:val="6"/>
        </w:numPr>
        <w:spacing w:after="263" w:line="249" w:lineRule="auto"/>
        <w:jc w:val="both"/>
      </w:pPr>
      <w:r>
        <w:t xml:space="preserve">legalább </w:t>
      </w:r>
      <w:r w:rsidRPr="007C04D5">
        <w:rPr>
          <w:b/>
        </w:rPr>
        <w:t>60 napot meghaladó időtartamban,</w:t>
      </w:r>
      <w:r>
        <w:t xml:space="preserve"> megszakítás nélkül nem lakja, nem használja, egyéb módon nem hasznosítja és az ingatlanban más részére sem lakhatást, sem egyéb hasznosítási lehetőséget nem biztosít és emiatt ott hulladék nem keletkezik;</w:t>
      </w:r>
    </w:p>
    <w:p w:rsidR="00243940" w:rsidRDefault="00243940" w:rsidP="008841B4">
      <w:pPr>
        <w:pStyle w:val="ListParagraph"/>
        <w:spacing w:after="263" w:line="249" w:lineRule="auto"/>
        <w:jc w:val="both"/>
      </w:pPr>
    </w:p>
    <w:p w:rsidR="00243940" w:rsidRDefault="00243940" w:rsidP="008841B4">
      <w:pPr>
        <w:pStyle w:val="ListParagraph"/>
        <w:numPr>
          <w:ilvl w:val="0"/>
          <w:numId w:val="6"/>
        </w:numPr>
        <w:spacing w:after="263" w:line="249" w:lineRule="auto"/>
        <w:jc w:val="both"/>
      </w:pPr>
      <w:r>
        <w:t xml:space="preserve">az ingatlant egyedül használó természetes személy </w:t>
      </w:r>
      <w:r w:rsidRPr="007E39BD">
        <w:rPr>
          <w:b/>
        </w:rPr>
        <w:t>önmaga ellátására képtelen, és nappali ellátásáról igazolható módon más helyen gondoskodnak</w:t>
      </w:r>
      <w:r>
        <w:t xml:space="preserve">; valamint </w:t>
      </w:r>
    </w:p>
    <w:p w:rsidR="00243940" w:rsidRDefault="00243940" w:rsidP="008841B4">
      <w:pPr>
        <w:pStyle w:val="ListParagraph"/>
        <w:spacing w:after="263" w:line="249" w:lineRule="auto"/>
        <w:jc w:val="both"/>
      </w:pPr>
    </w:p>
    <w:p w:rsidR="00243940" w:rsidRPr="007E39BD" w:rsidRDefault="00243940" w:rsidP="008841B4">
      <w:pPr>
        <w:pStyle w:val="ListParagraph"/>
        <w:numPr>
          <w:ilvl w:val="0"/>
          <w:numId w:val="6"/>
        </w:numPr>
        <w:spacing w:after="263" w:line="249" w:lineRule="auto"/>
        <w:jc w:val="both"/>
        <w:rPr>
          <w:b/>
        </w:rPr>
      </w:pPr>
      <w:r>
        <w:t>abban az esetben, ha ingatlanhasználó elhalálozása esetén az ingatlan lakatlanná vált és</w:t>
      </w:r>
      <w:r>
        <w:rPr>
          <w:b/>
        </w:rPr>
        <w:t xml:space="preserve"> az elhunyt hozzátartozója a halotti anyakönyvi kivonat bemutatásával annak kézhezvételét követő 30 napon belül a halálesetet bejelenti, kérheti a szüneteltetést a hagyatéki eljárás befejezéséig ( ebben az esteben határozott időre történik az engedély kiadása és ha azon belül az eljárás nem fejeződik be ez hosszabbítható).</w:t>
      </w:r>
    </w:p>
    <w:p w:rsidR="00243940" w:rsidRPr="0086032C" w:rsidRDefault="00243940" w:rsidP="008841B4">
      <w:pPr>
        <w:spacing w:after="263" w:line="249" w:lineRule="auto"/>
        <w:jc w:val="both"/>
        <w:rPr>
          <w:b/>
          <w:u w:val="single"/>
        </w:rPr>
      </w:pPr>
      <w:r w:rsidRPr="0086032C">
        <w:rPr>
          <w:b/>
          <w:u w:val="single"/>
        </w:rPr>
        <w:t>Változásbejelentési kötelezettség</w:t>
      </w:r>
    </w:p>
    <w:p w:rsidR="00243940" w:rsidRPr="00541650" w:rsidRDefault="00243940" w:rsidP="008841B4">
      <w:pPr>
        <w:spacing w:after="263" w:line="249" w:lineRule="auto"/>
        <w:jc w:val="both"/>
        <w:rPr>
          <w:b/>
        </w:rPr>
      </w:pPr>
      <w:r>
        <w:t xml:space="preserve">Ha a szünetelés feltételeiben változás következik be, </w:t>
      </w:r>
      <w:r w:rsidRPr="00541650">
        <w:rPr>
          <w:b/>
        </w:rPr>
        <w:t>az Ingatlanhasználó köteles haladéktalanul a Társaságunknak írásban bejelenteni.</w:t>
      </w:r>
    </w:p>
    <w:p w:rsidR="00243940" w:rsidRPr="0086032C" w:rsidRDefault="00243940" w:rsidP="008841B4">
      <w:pPr>
        <w:spacing w:after="262" w:line="248" w:lineRule="auto"/>
        <w:jc w:val="both"/>
        <w:rPr>
          <w:b/>
          <w:u w:val="single"/>
        </w:rPr>
      </w:pPr>
      <w:r w:rsidRPr="0086032C">
        <w:rPr>
          <w:b/>
          <w:u w:val="single"/>
        </w:rPr>
        <w:t>A szüneteltetés jogkövetkezményei</w:t>
      </w:r>
    </w:p>
    <w:p w:rsidR="00243940" w:rsidRPr="00D36744" w:rsidRDefault="00243940" w:rsidP="008841B4">
      <w:pPr>
        <w:spacing w:after="262" w:line="248" w:lineRule="auto"/>
        <w:jc w:val="both"/>
      </w:pPr>
      <w:r>
        <w:t xml:space="preserve">A szüneteltetés időtartama alatt a hulladékgazdálkodási közszolgáltatási résztevékenység részeként biztosított szolgáltatások </w:t>
      </w:r>
      <w:r w:rsidRPr="007E39BD">
        <w:rPr>
          <w:b/>
        </w:rPr>
        <w:t>egyike sem vehető igénybe</w:t>
      </w:r>
      <w:r>
        <w:t xml:space="preserve"> (pl. lomtalanítás, zöldhulladék szállítás, elkülönített hulladék szállítás).</w:t>
      </w:r>
    </w:p>
    <w:p w:rsidR="00243940" w:rsidRPr="00541650" w:rsidRDefault="00243940" w:rsidP="008841B4">
      <w:pPr>
        <w:shd w:val="clear" w:color="auto" w:fill="8EAADB"/>
        <w:spacing w:after="262" w:line="248" w:lineRule="auto"/>
        <w:jc w:val="center"/>
        <w:rPr>
          <w:b/>
          <w:sz w:val="28"/>
          <w:szCs w:val="28"/>
        </w:rPr>
      </w:pPr>
      <w:r w:rsidRPr="00541650">
        <w:rPr>
          <w:b/>
          <w:sz w:val="28"/>
          <w:szCs w:val="28"/>
        </w:rPr>
        <w:t>IDŐTARTAMA</w:t>
      </w:r>
    </w:p>
    <w:p w:rsidR="00243940" w:rsidRDefault="00243940" w:rsidP="008841B4">
      <w:pPr>
        <w:pStyle w:val="ListParagraph"/>
        <w:numPr>
          <w:ilvl w:val="0"/>
          <w:numId w:val="6"/>
        </w:numPr>
        <w:spacing w:after="262" w:line="248" w:lineRule="auto"/>
        <w:jc w:val="both"/>
      </w:pPr>
      <w:r w:rsidRPr="00610D48">
        <w:t xml:space="preserve"> </w:t>
      </w:r>
      <w:r>
        <w:t xml:space="preserve">Szünetelés a szünetelés kívánt </w:t>
      </w:r>
      <w:r w:rsidRPr="00541650">
        <w:rPr>
          <w:b/>
        </w:rPr>
        <w:t>kezdő időpontja előtt legalább 30 nappal megelőzően</w:t>
      </w:r>
      <w:r>
        <w:t xml:space="preserve"> kezdeményezhető.</w:t>
      </w:r>
    </w:p>
    <w:p w:rsidR="00243940" w:rsidRDefault="00243940" w:rsidP="008841B4">
      <w:pPr>
        <w:pStyle w:val="ListParagraph"/>
        <w:spacing w:after="262" w:line="248" w:lineRule="auto"/>
        <w:jc w:val="both"/>
      </w:pPr>
    </w:p>
    <w:p w:rsidR="00243940" w:rsidRPr="00655BBC" w:rsidRDefault="00243940" w:rsidP="008841B4">
      <w:pPr>
        <w:pStyle w:val="ListParagraph"/>
        <w:numPr>
          <w:ilvl w:val="0"/>
          <w:numId w:val="6"/>
        </w:numPr>
        <w:jc w:val="both"/>
      </w:pPr>
      <w:r w:rsidRPr="0086032C">
        <w:rPr>
          <w:b/>
        </w:rPr>
        <w:t xml:space="preserve">Legalább 60 napra kérhető, de legfeljebb </w:t>
      </w:r>
      <w:r>
        <w:rPr>
          <w:b/>
        </w:rPr>
        <w:t>1</w:t>
      </w:r>
      <w:r w:rsidRPr="0086032C">
        <w:rPr>
          <w:b/>
        </w:rPr>
        <w:t xml:space="preserve"> </w:t>
      </w:r>
      <w:r>
        <w:rPr>
          <w:b/>
        </w:rPr>
        <w:t xml:space="preserve">naptári </w:t>
      </w:r>
      <w:r w:rsidRPr="0086032C">
        <w:rPr>
          <w:b/>
        </w:rPr>
        <w:t>év időtartamra</w:t>
      </w:r>
      <w:r>
        <w:t>, évközi kérelem esetén a tárgyév december 31. napjáig szüneteltethető a szolgáltatás.</w:t>
      </w:r>
    </w:p>
    <w:p w:rsidR="00243940" w:rsidRDefault="00243940" w:rsidP="008841B4">
      <w:pPr>
        <w:pStyle w:val="ListParagraph"/>
        <w:spacing w:after="262" w:line="248" w:lineRule="auto"/>
        <w:jc w:val="both"/>
      </w:pPr>
    </w:p>
    <w:p w:rsidR="00243940" w:rsidRDefault="00243940" w:rsidP="008841B4">
      <w:pPr>
        <w:pStyle w:val="ListParagraph"/>
        <w:numPr>
          <w:ilvl w:val="0"/>
          <w:numId w:val="6"/>
        </w:numPr>
        <w:spacing w:after="262" w:line="248" w:lineRule="auto"/>
        <w:jc w:val="both"/>
      </w:pPr>
      <w:r w:rsidRPr="0086032C">
        <w:rPr>
          <w:b/>
        </w:rPr>
        <w:t>Szüneteltetés egy számlázási ciklusban egyszer kérhető</w:t>
      </w:r>
      <w:r>
        <w:t xml:space="preserve">. </w:t>
      </w:r>
      <w:r w:rsidRPr="003C7E98">
        <w:t>A szüneteltetés meghosszabbítására vonatkozó igény a meghosszabbított szünetelés kívánt kezdő időpontja előtt legalább 30 nappal megelőzően – a szüneteltetésre vonatkozó igény bejelentésének szabályai szerint – újra kezdeményezhető.</w:t>
      </w:r>
    </w:p>
    <w:p w:rsidR="00243940" w:rsidRDefault="00243940" w:rsidP="008841B4">
      <w:pPr>
        <w:pStyle w:val="ListParagraph"/>
      </w:pPr>
    </w:p>
    <w:p w:rsidR="00243940" w:rsidRPr="00610D48" w:rsidRDefault="00243940" w:rsidP="008841B4">
      <w:pPr>
        <w:pStyle w:val="ListParagraph"/>
        <w:numPr>
          <w:ilvl w:val="0"/>
          <w:numId w:val="6"/>
        </w:numPr>
        <w:spacing w:after="262" w:line="248" w:lineRule="auto"/>
        <w:jc w:val="both"/>
      </w:pPr>
      <w:r w:rsidRPr="00541650">
        <w:rPr>
          <w:b/>
        </w:rPr>
        <w:t xml:space="preserve">Folyamatos </w:t>
      </w:r>
      <w:r w:rsidRPr="003C7E98">
        <w:t xml:space="preserve">szüneteltetés esetén a kérelem </w:t>
      </w:r>
      <w:r w:rsidRPr="00541650">
        <w:rPr>
          <w:b/>
        </w:rPr>
        <w:t>legkésőbb január 15. napjáig adható le</w:t>
      </w:r>
      <w:r w:rsidRPr="003C7E98">
        <w:t>.</w:t>
      </w:r>
      <w:r>
        <w:t xml:space="preserve"> Kezdeményezés hiányában a szolgáltatás, a szüneteltetés előtti feltételekkel újraindul. </w:t>
      </w:r>
    </w:p>
    <w:p w:rsidR="00243940" w:rsidRDefault="00243940" w:rsidP="008841B4">
      <w:pPr>
        <w:shd w:val="clear" w:color="auto" w:fill="8EAADB"/>
        <w:spacing w:after="262" w:line="248" w:lineRule="auto"/>
        <w:jc w:val="center"/>
      </w:pPr>
      <w:r w:rsidRPr="0086032C">
        <w:rPr>
          <w:b/>
          <w:sz w:val="28"/>
          <w:szCs w:val="28"/>
        </w:rPr>
        <w:t>KÉRELEM</w:t>
      </w:r>
      <w:r>
        <w:rPr>
          <w:b/>
          <w:sz w:val="28"/>
          <w:szCs w:val="28"/>
        </w:rPr>
        <w:t xml:space="preserve"> </w:t>
      </w:r>
    </w:p>
    <w:p w:rsidR="00243940" w:rsidRPr="0086032C" w:rsidRDefault="00243940" w:rsidP="008841B4">
      <w:pPr>
        <w:pStyle w:val="Stlus1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86032C">
        <w:rPr>
          <w:rFonts w:ascii="Calibri" w:hAnsi="Calibri" w:cs="Calibri"/>
          <w:bCs/>
          <w:sz w:val="22"/>
          <w:szCs w:val="22"/>
        </w:rPr>
        <w:t>A</w:t>
      </w:r>
      <w:r w:rsidRPr="0086032C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z Ingatlanhasználó </w:t>
      </w:r>
      <w:r w:rsidRPr="0086032C"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>szüneteltetési kérelmét csak</w:t>
      </w:r>
      <w:r w:rsidRPr="0086032C">
        <w:rPr>
          <w:rFonts w:ascii="Calibri" w:hAnsi="Calibri" w:cs="Calibri"/>
          <w:sz w:val="22"/>
          <w:szCs w:val="22"/>
        </w:rPr>
        <w:t xml:space="preserve"> a MOHU számlázó rendszerében nyilvántartott vevő vagy annak </w:t>
      </w:r>
      <w:r>
        <w:rPr>
          <w:rFonts w:ascii="Calibri" w:hAnsi="Calibri" w:cs="Calibri"/>
          <w:sz w:val="22"/>
          <w:szCs w:val="22"/>
        </w:rPr>
        <w:t xml:space="preserve">igazolt </w:t>
      </w:r>
      <w:r w:rsidRPr="0086032C">
        <w:rPr>
          <w:rFonts w:ascii="Calibri" w:hAnsi="Calibri" w:cs="Calibri"/>
          <w:sz w:val="22"/>
          <w:szCs w:val="22"/>
        </w:rPr>
        <w:t>meghatalmazottja kérelmezheti</w:t>
      </w:r>
    </w:p>
    <w:p w:rsidR="00243940" w:rsidRPr="0086032C" w:rsidRDefault="00243940" w:rsidP="008841B4">
      <w:pPr>
        <w:pStyle w:val="Stlus1"/>
        <w:ind w:left="720"/>
        <w:rPr>
          <w:rFonts w:ascii="Calibri" w:hAnsi="Calibri" w:cs="Calibri"/>
          <w:kern w:val="0"/>
          <w:sz w:val="22"/>
          <w:szCs w:val="22"/>
          <w:lang w:eastAsia="en-US" w:bidi="ar-SA"/>
        </w:rPr>
      </w:pPr>
    </w:p>
    <w:p w:rsidR="00243940" w:rsidRPr="0086032C" w:rsidRDefault="00243940" w:rsidP="008841B4">
      <w:pPr>
        <w:pStyle w:val="Stlus1"/>
        <w:numPr>
          <w:ilvl w:val="0"/>
          <w:numId w:val="6"/>
        </w:numPr>
        <w:rPr>
          <w:rFonts w:ascii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 xml:space="preserve">- </w:t>
      </w:r>
      <w:r w:rsidRPr="0086032C"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 xml:space="preserve">személyesen </w:t>
      </w:r>
      <w:r w:rsidRPr="0086032C">
        <w:rPr>
          <w:rFonts w:ascii="Calibri" w:hAnsi="Calibri" w:cs="Calibri"/>
          <w:kern w:val="0"/>
          <w:sz w:val="22"/>
          <w:szCs w:val="22"/>
          <w:lang w:eastAsia="en-US" w:bidi="ar-SA"/>
        </w:rPr>
        <w:t>Társaságunk ügyfélszolgálatán a szüneteltetési formanyomtatványon írásban leadott nyilatkozatta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l</w:t>
      </w:r>
      <w:r w:rsidRPr="0086032C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, </w:t>
      </w:r>
    </w:p>
    <w:p w:rsidR="00243940" w:rsidRPr="0086032C" w:rsidRDefault="00243940" w:rsidP="008841B4">
      <w:pPr>
        <w:pStyle w:val="Stlus1"/>
        <w:ind w:left="720"/>
        <w:rPr>
          <w:rFonts w:ascii="Calibri" w:hAnsi="Calibri" w:cs="Calibri"/>
          <w:kern w:val="0"/>
          <w:sz w:val="22"/>
          <w:szCs w:val="22"/>
          <w:lang w:eastAsia="en-US" w:bidi="ar-SA"/>
        </w:rPr>
      </w:pPr>
      <w:bookmarkStart w:id="0" w:name="_Hlk499827038"/>
      <w:bookmarkEnd w:id="0"/>
    </w:p>
    <w:p w:rsidR="00243940" w:rsidRDefault="00243940" w:rsidP="008841B4">
      <w:pPr>
        <w:pStyle w:val="ListParagraph"/>
        <w:numPr>
          <w:ilvl w:val="0"/>
          <w:numId w:val="6"/>
        </w:numPr>
        <w:spacing w:after="263" w:line="249" w:lineRule="auto"/>
        <w:jc w:val="both"/>
      </w:pPr>
      <w:r>
        <w:rPr>
          <w:rFonts w:cs="Calibri"/>
          <w:b/>
        </w:rPr>
        <w:t>l</w:t>
      </w:r>
      <w:r w:rsidRPr="0086032C">
        <w:rPr>
          <w:rFonts w:cs="Calibri"/>
          <w:b/>
        </w:rPr>
        <w:t xml:space="preserve">evél </w:t>
      </w:r>
      <w:r>
        <w:rPr>
          <w:rFonts w:cs="Calibri"/>
          <w:b/>
        </w:rPr>
        <w:t xml:space="preserve">formában </w:t>
      </w:r>
      <w:r w:rsidRPr="0086032C">
        <w:rPr>
          <w:rFonts w:cs="Calibri"/>
        </w:rPr>
        <w:t>(amennyiben</w:t>
      </w:r>
      <w:r>
        <w:rPr>
          <w:rFonts w:cs="Calibri"/>
          <w:b/>
        </w:rPr>
        <w:t xml:space="preserve"> </w:t>
      </w:r>
      <w:r>
        <w:t xml:space="preserve">MOHU számlázó rendszerében nyilvántartott vevő (fizető) név és felhasználási hely vagy levelezési címről érkezik, vagy tartalmazza a felhasználó és/vagy vevő (fizető) azonosítót és a születési helyét és idejét), </w:t>
      </w:r>
    </w:p>
    <w:p w:rsidR="00243940" w:rsidRDefault="00243940" w:rsidP="008841B4">
      <w:pPr>
        <w:pStyle w:val="Stlus1"/>
        <w:ind w:left="720"/>
      </w:pPr>
      <w:r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>e</w:t>
      </w:r>
      <w:r w:rsidRPr="0086032C"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 xml:space="preserve">lektronikus formában </w:t>
      </w:r>
      <w:r w:rsidRPr="0086032C">
        <w:rPr>
          <w:rFonts w:ascii="Calibri" w:hAnsi="Calibri" w:cs="Calibri"/>
          <w:kern w:val="0"/>
          <w:sz w:val="22"/>
          <w:szCs w:val="22"/>
          <w:lang w:eastAsia="en-US" w:bidi="ar-SA"/>
        </w:rPr>
        <w:t>(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amennyiben a </w:t>
      </w:r>
      <w:r w:rsidRPr="00595EB5">
        <w:rPr>
          <w:rFonts w:ascii="Calibri" w:hAnsi="Calibri" w:cs="Calibri"/>
          <w:sz w:val="22"/>
          <w:szCs w:val="22"/>
        </w:rPr>
        <w:t>korábban rögzített e-mail</w:t>
      </w:r>
      <w:r>
        <w:rPr>
          <w:rFonts w:ascii="Calibri" w:hAnsi="Calibri" w:cs="Calibri"/>
          <w:sz w:val="22"/>
          <w:szCs w:val="22"/>
        </w:rPr>
        <w:t xml:space="preserve"> </w:t>
      </w:r>
      <w:r w:rsidRPr="00595EB5">
        <w:rPr>
          <w:rFonts w:ascii="Calibri" w:hAnsi="Calibri" w:cs="Calibri"/>
          <w:sz w:val="22"/>
          <w:szCs w:val="22"/>
        </w:rPr>
        <w:t>címről érkezik a megkeresés, vagy tartalmazza a felhasználó és/vagy vevő (fizető) azonosítót, továbbá a születési helyet és idő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).</w:t>
      </w:r>
    </w:p>
    <w:p w:rsidR="00243940" w:rsidRDefault="00243940" w:rsidP="008841B4">
      <w:pPr>
        <w:pStyle w:val="Stlus1"/>
        <w:ind w:left="720"/>
      </w:pPr>
    </w:p>
    <w:p w:rsidR="00243940" w:rsidRDefault="00243940" w:rsidP="008841B4">
      <w:pPr>
        <w:spacing w:after="0" w:line="248" w:lineRule="auto"/>
        <w:jc w:val="both"/>
        <w:rPr>
          <w:b/>
        </w:rPr>
      </w:pPr>
      <w:r>
        <w:t xml:space="preserve">A hulladékgazdálkodási közszolgáltatási résztevékenység keretében végzett szolgáltatás igénybevételének szünetelésére </w:t>
      </w:r>
      <w:r w:rsidRPr="007E39BD">
        <w:rPr>
          <w:b/>
        </w:rPr>
        <w:t>visszamenőlegesen</w:t>
      </w:r>
      <w:r>
        <w:t xml:space="preserve"> kizárólag abban az esetben van lehetőség, ha a szüneteltetés feltételei egyébként fennállnak, ugyanakkor a szüneteltetést az Ingatlanhasználó </w:t>
      </w:r>
      <w:r w:rsidRPr="007E39BD">
        <w:rPr>
          <w:b/>
        </w:rPr>
        <w:t>tartós akadályoztatása, vagy érvényes jogcíme hiányában</w:t>
      </w:r>
      <w:r>
        <w:t xml:space="preserve"> csak későbbi időpontban jelenti be. Ebben az esetben az Ingatlanhasználó az akadályoztatás okának megjelölésével és szüneteltetési kérelmének alapjául szolgáló hiteles dokumentumok benyújtásával kérheti kizárólag a hulladékgazdálkodási közszolgáltatási résztevékenység igénybevétele szüneteltetésének utólagos megállapítását. </w:t>
      </w:r>
      <w:r w:rsidRPr="0086032C">
        <w:t>A jelen pont szerinti tartós akadályoztatás alatt az alábbiak értendők: tartós orvosi (intézményi) ellátás; fegyházban, börtönben, fogházban töltött szabadságvesztés, vis maior.</w:t>
      </w:r>
      <w:r w:rsidRPr="007E39BD">
        <w:rPr>
          <w:b/>
        </w:rPr>
        <w:t xml:space="preserve"> </w:t>
      </w:r>
    </w:p>
    <w:p w:rsidR="00243940" w:rsidRPr="0086032C" w:rsidRDefault="00243940" w:rsidP="008841B4">
      <w:pPr>
        <w:shd w:val="clear" w:color="auto" w:fill="8EAADB"/>
        <w:spacing w:after="263" w:line="249" w:lineRule="auto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>IGAZOLÁS, ELLENŐRZÉS</w:t>
      </w:r>
    </w:p>
    <w:p w:rsidR="00243940" w:rsidRPr="0086032C" w:rsidRDefault="00243940" w:rsidP="008841B4">
      <w:pPr>
        <w:spacing w:after="263" w:line="249" w:lineRule="auto"/>
        <w:jc w:val="center"/>
        <w:rPr>
          <w:b/>
          <w:color w:val="FF0000"/>
          <w:sz w:val="26"/>
          <w:szCs w:val="26"/>
          <w:u w:val="single"/>
        </w:rPr>
      </w:pPr>
      <w:r w:rsidRPr="0086032C">
        <w:rPr>
          <w:b/>
          <w:color w:val="FF0000"/>
          <w:sz w:val="26"/>
          <w:szCs w:val="26"/>
          <w:u w:val="single"/>
        </w:rPr>
        <w:t>FONTOS ÚJ SZABÁLY</w:t>
      </w:r>
    </w:p>
    <w:p w:rsidR="00243940" w:rsidRPr="0086032C" w:rsidRDefault="00243940" w:rsidP="008841B4">
      <w:pPr>
        <w:spacing w:after="263" w:line="249" w:lineRule="auto"/>
        <w:jc w:val="center"/>
        <w:rPr>
          <w:b/>
          <w:sz w:val="26"/>
          <w:szCs w:val="26"/>
          <w:u w:val="single"/>
        </w:rPr>
      </w:pPr>
      <w:r w:rsidRPr="0086032C">
        <w:rPr>
          <w:b/>
          <w:sz w:val="26"/>
          <w:szCs w:val="26"/>
          <w:u w:val="single"/>
        </w:rPr>
        <w:t>Kötelező visszamenőleges közüzemi igazolás be</w:t>
      </w:r>
      <w:bookmarkStart w:id="1" w:name="_GoBack"/>
      <w:bookmarkEnd w:id="1"/>
      <w:r w:rsidRPr="0086032C">
        <w:rPr>
          <w:b/>
          <w:sz w:val="26"/>
          <w:szCs w:val="26"/>
          <w:u w:val="single"/>
        </w:rPr>
        <w:t>nyújtása</w:t>
      </w:r>
    </w:p>
    <w:p w:rsidR="00243940" w:rsidRDefault="00243940" w:rsidP="008841B4">
      <w:pPr>
        <w:spacing w:after="0" w:line="249" w:lineRule="auto"/>
        <w:jc w:val="both"/>
      </w:pPr>
      <w:r w:rsidRPr="00B424C6">
        <w:t xml:space="preserve">Az </w:t>
      </w:r>
      <w:r>
        <w:t>Ingatlanhasználó</w:t>
      </w:r>
      <w:r w:rsidRPr="00B424C6">
        <w:t xml:space="preserve"> köteles</w:t>
      </w:r>
    </w:p>
    <w:p w:rsidR="00243940" w:rsidRDefault="00243940" w:rsidP="008841B4">
      <w:pPr>
        <w:spacing w:after="0" w:line="249" w:lineRule="auto"/>
        <w:jc w:val="both"/>
      </w:pPr>
    </w:p>
    <w:p w:rsidR="00243940" w:rsidRPr="0086032C" w:rsidRDefault="00243940" w:rsidP="008841B4">
      <w:pPr>
        <w:pStyle w:val="ListParagraph"/>
        <w:numPr>
          <w:ilvl w:val="0"/>
          <w:numId w:val="6"/>
        </w:numPr>
        <w:spacing w:after="0" w:line="249" w:lineRule="auto"/>
        <w:jc w:val="both"/>
        <w:rPr>
          <w:u w:val="single"/>
        </w:rPr>
      </w:pPr>
      <w:r w:rsidRPr="00B424C6">
        <w:t xml:space="preserve"> minden esetben az ingatlan használaton kívüliségét </w:t>
      </w:r>
      <w:r w:rsidRPr="0086032C">
        <w:rPr>
          <w:b/>
        </w:rPr>
        <w:t xml:space="preserve">a szüneteltetési időszak lejártát követő 30 napon belül az ingatlanon </w:t>
      </w:r>
      <w:r w:rsidRPr="0086032C">
        <w:rPr>
          <w:b/>
          <w:u w:val="single"/>
        </w:rPr>
        <w:t>elhelyezett víz vagy villamos energia közmű tekintetében kiadott, nulla fogyasztást mutató számla vagy az adott szolgáltató által kiállított, nulla fogyasztást igazoló más dokumentum bemutatásával igazolni</w:t>
      </w:r>
      <w:r w:rsidRPr="0086032C">
        <w:rPr>
          <w:u w:val="single"/>
        </w:rPr>
        <w:t xml:space="preserve"> a Társaságunk felé,</w:t>
      </w:r>
    </w:p>
    <w:p w:rsidR="00243940" w:rsidRPr="0086032C" w:rsidRDefault="00243940" w:rsidP="008841B4">
      <w:pPr>
        <w:pStyle w:val="ListParagraph"/>
        <w:spacing w:after="0" w:line="249" w:lineRule="auto"/>
        <w:jc w:val="both"/>
        <w:rPr>
          <w:u w:val="single"/>
        </w:rPr>
      </w:pPr>
    </w:p>
    <w:p w:rsidR="00243940" w:rsidRPr="0086032C" w:rsidRDefault="00243940" w:rsidP="005F43CF">
      <w:pPr>
        <w:pStyle w:val="ListParagraph"/>
        <w:spacing w:after="0" w:line="249" w:lineRule="auto"/>
        <w:jc w:val="both"/>
      </w:pPr>
      <w:r w:rsidRPr="0086032C">
        <w:rPr>
          <w:b/>
          <w:highlight w:val="lightGray"/>
        </w:rPr>
        <w:t>ellenkező esetben a MOHU szüneteltetés bejelentésének időpontjáig</w:t>
      </w:r>
      <w:r>
        <w:rPr>
          <w:b/>
          <w:highlight w:val="lightGray"/>
        </w:rPr>
        <w:t xml:space="preserve"> vagy azon számlázási időszakra ahol fogyasztás kimutatható</w:t>
      </w:r>
      <w:r w:rsidRPr="0086032C">
        <w:rPr>
          <w:b/>
          <w:highlight w:val="lightGray"/>
        </w:rPr>
        <w:t xml:space="preserve"> visszamenő</w:t>
      </w:r>
      <w:r>
        <w:rPr>
          <w:b/>
          <w:highlight w:val="lightGray"/>
        </w:rPr>
        <w:t>leg</w:t>
      </w:r>
      <w:r w:rsidRPr="0086032C">
        <w:rPr>
          <w:b/>
          <w:highlight w:val="lightGray"/>
        </w:rPr>
        <w:t xml:space="preserve"> a hulladékgazdálkodási közszolgáltatási díj megfizetésére kötelezi.</w:t>
      </w:r>
    </w:p>
    <w:p w:rsidR="00243940" w:rsidRDefault="00243940" w:rsidP="008841B4">
      <w:pPr>
        <w:pStyle w:val="ListParagraph"/>
      </w:pPr>
    </w:p>
    <w:p w:rsidR="00243940" w:rsidRDefault="00243940" w:rsidP="008841B4">
      <w:pPr>
        <w:spacing w:after="0" w:line="249" w:lineRule="auto"/>
        <w:jc w:val="both"/>
      </w:pPr>
      <w:r>
        <w:t xml:space="preserve"> Tehát </w:t>
      </w:r>
      <w:r w:rsidRPr="0086032C">
        <w:rPr>
          <w:b/>
          <w:u w:val="single"/>
        </w:rPr>
        <w:t>amelyik negyedévre nem igazolt a nullás fogyasztás, az az időszak számázásra kerül.</w:t>
      </w:r>
      <w:r>
        <w:t xml:space="preserve"> </w:t>
      </w:r>
    </w:p>
    <w:p w:rsidR="00243940" w:rsidRDefault="00243940" w:rsidP="008841B4">
      <w:pPr>
        <w:spacing w:after="0" w:line="249" w:lineRule="auto"/>
        <w:jc w:val="both"/>
      </w:pPr>
    </w:p>
    <w:p w:rsidR="00243940" w:rsidRPr="0086032C" w:rsidRDefault="00243940" w:rsidP="008841B4">
      <w:pPr>
        <w:spacing w:after="0" w:line="249" w:lineRule="auto"/>
        <w:jc w:val="both"/>
        <w:rPr>
          <w:b/>
          <w:sz w:val="26"/>
          <w:szCs w:val="26"/>
          <w:u w:val="single"/>
        </w:rPr>
      </w:pPr>
      <w:r w:rsidRPr="0086032C">
        <w:rPr>
          <w:b/>
          <w:sz w:val="26"/>
          <w:szCs w:val="26"/>
          <w:u w:val="single"/>
        </w:rPr>
        <w:t>Nullás fogyasztás:</w:t>
      </w:r>
    </w:p>
    <w:p w:rsidR="00243940" w:rsidRDefault="00243940" w:rsidP="008841B4">
      <w:pPr>
        <w:pStyle w:val="ListParagraph"/>
        <w:numPr>
          <w:ilvl w:val="0"/>
          <w:numId w:val="6"/>
        </w:numPr>
        <w:spacing w:after="0" w:line="249" w:lineRule="auto"/>
        <w:jc w:val="both"/>
      </w:pPr>
      <w:r>
        <w:t xml:space="preserve">A MOHU Zrt állásfoglalása szerint a nullás fogyasztás a korábbi szabályoktól eltérőén </w:t>
      </w:r>
      <w:r w:rsidRPr="0086032C">
        <w:rPr>
          <w:b/>
        </w:rPr>
        <w:t>szó szerinti nulla fogyasztási adat igazolását jelenti</w:t>
      </w:r>
      <w:r>
        <w:t>, tehát sem pl fagyasztó szekrény üzemeltetés, takarítás, állagmegóvási munkálatok vagy kertrendezés/gondozás során keletkezett minimális fogyasztást mutató igazolás nem fogadható el a jövőben. Aki szüneteltetni kívánja a szolgáltatást előre járjon utána, hogy az igazolást megfelelő formában be tudja-e a szolgáltatójánál szerezni a szüneteltetési időszakra!</w:t>
      </w:r>
    </w:p>
    <w:p w:rsidR="00243940" w:rsidRDefault="00243940" w:rsidP="008841B4">
      <w:pPr>
        <w:spacing w:after="0" w:line="249" w:lineRule="auto"/>
        <w:jc w:val="both"/>
      </w:pPr>
    </w:p>
    <w:p w:rsidR="00243940" w:rsidRPr="0086032C" w:rsidRDefault="00243940" w:rsidP="008841B4">
      <w:pPr>
        <w:spacing w:after="0" w:line="249" w:lineRule="auto"/>
        <w:jc w:val="both"/>
        <w:rPr>
          <w:b/>
          <w:sz w:val="26"/>
          <w:szCs w:val="26"/>
          <w:u w:val="single"/>
        </w:rPr>
      </w:pPr>
      <w:r w:rsidRPr="0086032C">
        <w:rPr>
          <w:b/>
          <w:sz w:val="26"/>
          <w:szCs w:val="26"/>
          <w:u w:val="single"/>
        </w:rPr>
        <w:t>Elmulasztott igazolás jogkövetkezményei:</w:t>
      </w:r>
    </w:p>
    <w:p w:rsidR="00243940" w:rsidRPr="0086032C" w:rsidRDefault="00243940" w:rsidP="008841B4">
      <w:pPr>
        <w:pStyle w:val="ListParagraph"/>
        <w:numPr>
          <w:ilvl w:val="0"/>
          <w:numId w:val="6"/>
        </w:numPr>
        <w:spacing w:after="0" w:line="249" w:lineRule="auto"/>
        <w:jc w:val="both"/>
      </w:pPr>
      <w:r w:rsidRPr="0086032C">
        <w:t>Sem Társaságunk, sem a MOHU nem fog előzetes felhívást küldeni annak</w:t>
      </w:r>
      <w:r>
        <w:t>,</w:t>
      </w:r>
      <w:r w:rsidRPr="0086032C">
        <w:t xml:space="preserve"> aki az igazolást elmulasztja </w:t>
      </w:r>
      <w:r>
        <w:t xml:space="preserve">határidőben </w:t>
      </w:r>
      <w:r w:rsidRPr="0086032C">
        <w:t>benyújtani, hanem a számlázás</w:t>
      </w:r>
      <w:r>
        <w:t xml:space="preserve"> </w:t>
      </w:r>
      <w:r w:rsidRPr="0086032C">
        <w:t>automatikusan megtörténik visszamenőlegesen a nem igazolt negyedévre vonatkozóan.</w:t>
      </w:r>
    </w:p>
    <w:p w:rsidR="00243940" w:rsidRDefault="00243940" w:rsidP="008841B4">
      <w:pPr>
        <w:spacing w:after="0" w:line="249" w:lineRule="auto"/>
        <w:jc w:val="both"/>
      </w:pPr>
    </w:p>
    <w:p w:rsidR="00243940" w:rsidRPr="0086032C" w:rsidRDefault="00243940" w:rsidP="008841B4">
      <w:pPr>
        <w:pStyle w:val="ListParagraph"/>
        <w:numPr>
          <w:ilvl w:val="0"/>
          <w:numId w:val="6"/>
        </w:numPr>
        <w:spacing w:after="0" w:line="249" w:lineRule="auto"/>
        <w:jc w:val="both"/>
        <w:rPr>
          <w:b/>
        </w:rPr>
      </w:pPr>
      <w:r w:rsidRPr="0086032C">
        <w:rPr>
          <w:b/>
        </w:rPr>
        <w:t>Folyamatos szüneteltetésnél a számlák leadásának határideje: január 31.</w:t>
      </w:r>
    </w:p>
    <w:p w:rsidR="00243940" w:rsidRPr="00B424C6" w:rsidRDefault="00243940" w:rsidP="008841B4">
      <w:pPr>
        <w:spacing w:after="0" w:line="249" w:lineRule="auto"/>
        <w:jc w:val="both"/>
      </w:pPr>
    </w:p>
    <w:p w:rsidR="00243940" w:rsidRDefault="00243940" w:rsidP="008841B4">
      <w:pPr>
        <w:spacing w:after="263" w:line="249" w:lineRule="auto"/>
        <w:jc w:val="both"/>
      </w:pPr>
      <w:r>
        <w:t>Társaságunk jogosult a szüneteltetés feltételeinek fennállását, így a szüneteltetési kérelemben előadottak valóságtartamát ellenőrizni és ezzel kapcsolatban az Ingatlanhasználótól további tájékoztatást és okiratokat kérni. Ennek elmulasztása esetén a teljes szünetelési időszakra utólagosan számla kerül kiállításra.</w:t>
      </w:r>
    </w:p>
    <w:p w:rsidR="00243940" w:rsidRDefault="00243940" w:rsidP="008841B4">
      <w:pPr>
        <w:spacing w:after="263" w:line="249" w:lineRule="auto"/>
        <w:jc w:val="both"/>
      </w:pPr>
    </w:p>
    <w:p w:rsidR="00243940" w:rsidRPr="0086032C" w:rsidRDefault="00243940" w:rsidP="008841B4">
      <w:pPr>
        <w:spacing w:after="263" w:line="249" w:lineRule="auto"/>
        <w:jc w:val="both"/>
        <w:rPr>
          <w:b/>
          <w:sz w:val="26"/>
          <w:szCs w:val="26"/>
          <w:u w:val="single"/>
        </w:rPr>
      </w:pPr>
      <w:r w:rsidRPr="0086032C">
        <w:rPr>
          <w:b/>
          <w:sz w:val="26"/>
          <w:szCs w:val="26"/>
          <w:u w:val="single"/>
        </w:rPr>
        <w:t>Ellenőrzés:</w:t>
      </w:r>
    </w:p>
    <w:p w:rsidR="00243940" w:rsidRDefault="00243940" w:rsidP="008841B4">
      <w:pPr>
        <w:spacing w:after="263" w:line="249" w:lineRule="auto"/>
        <w:jc w:val="both"/>
      </w:pPr>
      <w:r>
        <w:t xml:space="preserve">Amennyiben Társaságunk az ellenőrzés során azt tapasztalja, hogy a szüneteltetést </w:t>
      </w:r>
    </w:p>
    <w:p w:rsidR="00243940" w:rsidRDefault="00243940" w:rsidP="008841B4">
      <w:pPr>
        <w:pStyle w:val="ListParagraph"/>
        <w:numPr>
          <w:ilvl w:val="0"/>
          <w:numId w:val="6"/>
        </w:numPr>
        <w:spacing w:after="263" w:line="249" w:lineRule="auto"/>
        <w:jc w:val="both"/>
      </w:pPr>
      <w:r>
        <w:t xml:space="preserve">Ingatlanhasználó jogosulatlanul vette igénybe; vagy </w:t>
      </w:r>
    </w:p>
    <w:p w:rsidR="00243940" w:rsidRPr="007C04D5" w:rsidRDefault="00243940" w:rsidP="008841B4">
      <w:pPr>
        <w:pStyle w:val="ListParagraph"/>
        <w:numPr>
          <w:ilvl w:val="0"/>
          <w:numId w:val="6"/>
        </w:numPr>
        <w:spacing w:after="0" w:line="249" w:lineRule="auto"/>
        <w:jc w:val="both"/>
        <w:rPr>
          <w:b/>
        </w:rPr>
      </w:pPr>
      <w:r>
        <w:t xml:space="preserve">a szüneteltetés feltételei a szüneteltetési kérelemben előadottakhoz képest már nem állnak fenn és az Ingatlanhasználó a szüneteltetés feltételeiben bekövetkezett ezen változást nem jelentette be, Társaságunk, az Ingatlanhasználó egyidejű értesítése mellett, jogosult a szünetelést megszüntetni, valamint </w:t>
      </w:r>
      <w:r w:rsidRPr="003C7E98">
        <w:t xml:space="preserve">az Ingatlanhasználót </w:t>
      </w:r>
      <w:r w:rsidRPr="007C04D5">
        <w:rPr>
          <w:b/>
        </w:rPr>
        <w:t xml:space="preserve">a szüneteltetés </w:t>
      </w:r>
      <w:r>
        <w:rPr>
          <w:b/>
        </w:rPr>
        <w:t xml:space="preserve">kezdő </w:t>
      </w:r>
      <w:r w:rsidRPr="007C04D5">
        <w:rPr>
          <w:b/>
        </w:rPr>
        <w:t>időpontjáig visszamenő</w:t>
      </w:r>
      <w:r>
        <w:rPr>
          <w:b/>
        </w:rPr>
        <w:t>leg – tehát a teljes szünetelési időszakra -</w:t>
      </w:r>
      <w:r w:rsidRPr="007C04D5">
        <w:rPr>
          <w:b/>
        </w:rPr>
        <w:t xml:space="preserve"> a hulladékgazdálkodási közszolgáltatási díj megfizetésére kötelezni. </w:t>
      </w:r>
    </w:p>
    <w:p w:rsidR="00243940" w:rsidRPr="00655BBC" w:rsidRDefault="00243940" w:rsidP="008841B4">
      <w:pPr>
        <w:spacing w:after="0" w:line="249" w:lineRule="auto"/>
        <w:ind w:left="360"/>
        <w:jc w:val="both"/>
      </w:pPr>
    </w:p>
    <w:p w:rsidR="00243940" w:rsidRPr="0086032C" w:rsidRDefault="00243940" w:rsidP="008841B4">
      <w:pPr>
        <w:shd w:val="clear" w:color="auto" w:fill="8EAADB"/>
        <w:spacing w:after="262" w:line="248" w:lineRule="auto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 xml:space="preserve">A HULLADÉKGAZDÁLKODÁSI KÖZSZOLGÁLTATÁSI RÉSZTEVÉKENYSÉG KERETÉBEN IGÉNYBEVETT SZOLGÁLTATÁS ÚJRAINDÍTÁSA </w:t>
      </w:r>
    </w:p>
    <w:p w:rsidR="00243940" w:rsidRDefault="00243940" w:rsidP="008841B4">
      <w:pPr>
        <w:spacing w:after="262" w:line="248" w:lineRule="auto"/>
        <w:jc w:val="both"/>
      </w:pPr>
      <w:r w:rsidRPr="00655BBC">
        <w:t xml:space="preserve">A szünetelési időszak lejártával a hulladékgazdálkodási közszolgáltatási résztevékenység igénybevétele </w:t>
      </w:r>
      <w:r w:rsidRPr="007C04D5">
        <w:rPr>
          <w:b/>
        </w:rPr>
        <w:t>automatikusan, külön bejelentési kötelezettség nélkül újraindul</w:t>
      </w:r>
      <w:r w:rsidRPr="00655BBC">
        <w:t xml:space="preserve"> és Társaságunk átadja a nyilvántartásában rögzített adatokat a számlázást végző MOHU részére.</w:t>
      </w:r>
    </w:p>
    <w:p w:rsidR="00243940" w:rsidRPr="00655BBC" w:rsidRDefault="00243940" w:rsidP="008841B4">
      <w:pPr>
        <w:spacing w:after="262" w:line="248" w:lineRule="auto"/>
        <w:jc w:val="both"/>
      </w:pPr>
      <w:r>
        <w:t>Tehát aki a folyamatos szüneteltetési kérelem benyújtását elmulasztja (pl. elfelejti) annak a számla kiállításra kerül és csak jövőre vonatkozó új kérelemként nyújthatja be igényét. A kérelem előterjesztésének elmulasztása tartós akadályozás okirati bizonyítása nélkül nem méltányolható. Ez esetben is kötelező az utólagos igazolás benyújtása!</w:t>
      </w:r>
    </w:p>
    <w:p w:rsidR="00243940" w:rsidRPr="007C04D5" w:rsidRDefault="00243940" w:rsidP="008841B4">
      <w:pPr>
        <w:spacing w:after="262" w:line="248" w:lineRule="auto"/>
        <w:jc w:val="both"/>
        <w:rPr>
          <w:b/>
        </w:rPr>
      </w:pPr>
      <w:r w:rsidRPr="00655BBC">
        <w:t xml:space="preserve">Szintén </w:t>
      </w:r>
      <w:r w:rsidRPr="00655BBC">
        <w:tab/>
        <w:t xml:space="preserve">automatikusan </w:t>
      </w:r>
      <w:r w:rsidRPr="00655BBC">
        <w:tab/>
        <w:t xml:space="preserve">újraindul a hulladékgazdálkodási közszolgáltatási résztevékenység igénybevétele, abban az esetben, ha a szünetelés időtartama alatt a hulladékgazdálkodási közszolgáltatási résztevékenység körébe tartozó </w:t>
      </w:r>
      <w:r w:rsidRPr="007C04D5">
        <w:rPr>
          <w:b/>
        </w:rPr>
        <w:t xml:space="preserve">hulladék kerül kihelyezésre.  </w:t>
      </w:r>
    </w:p>
    <w:p w:rsidR="00243940" w:rsidRPr="00655BBC" w:rsidRDefault="00243940" w:rsidP="008841B4">
      <w:pPr>
        <w:spacing w:after="263" w:line="249" w:lineRule="auto"/>
        <w:jc w:val="both"/>
      </w:pPr>
      <w:r>
        <w:t xml:space="preserve">Amennyiben az Ingatlanhasználó által megnevezett felhasználási helyen a szünetelés körülményei megváltoztak, lehetőség van a hulladékgazdálkodási közszolgáltatási résztevékenység keretében végzett szolgáltatás igénybevételének újraindítására. </w:t>
      </w:r>
    </w:p>
    <w:p w:rsidR="00243940" w:rsidRPr="0086032C" w:rsidRDefault="00243940" w:rsidP="008841B4">
      <w:pPr>
        <w:shd w:val="clear" w:color="auto" w:fill="8EAADB"/>
        <w:spacing w:after="262" w:line="248" w:lineRule="auto"/>
        <w:jc w:val="center"/>
        <w:rPr>
          <w:b/>
          <w:sz w:val="28"/>
          <w:szCs w:val="28"/>
        </w:rPr>
      </w:pPr>
      <w:r w:rsidRPr="0086032C">
        <w:rPr>
          <w:b/>
          <w:sz w:val="28"/>
          <w:szCs w:val="28"/>
        </w:rPr>
        <w:t>TÁRSASHÁZAKRA VONATKOZÓ SPECIÁLIS SZABÁLYOK</w:t>
      </w:r>
    </w:p>
    <w:p w:rsidR="00243940" w:rsidRPr="0086032C" w:rsidRDefault="00243940" w:rsidP="008841B4">
      <w:pPr>
        <w:spacing w:after="263" w:line="249" w:lineRule="auto"/>
        <w:jc w:val="center"/>
        <w:rPr>
          <w:b/>
          <w:color w:val="FF0000"/>
          <w:sz w:val="26"/>
          <w:szCs w:val="26"/>
          <w:u w:val="single"/>
        </w:rPr>
      </w:pPr>
      <w:r w:rsidRPr="0086032C">
        <w:rPr>
          <w:b/>
          <w:color w:val="FF0000"/>
          <w:sz w:val="26"/>
          <w:szCs w:val="26"/>
          <w:u w:val="single"/>
        </w:rPr>
        <w:t xml:space="preserve">FONTOS </w:t>
      </w:r>
      <w:r>
        <w:rPr>
          <w:b/>
          <w:color w:val="FF0000"/>
          <w:sz w:val="26"/>
          <w:szCs w:val="26"/>
          <w:u w:val="single"/>
        </w:rPr>
        <w:t>ÚJ SZABÁLY!</w:t>
      </w:r>
    </w:p>
    <w:p w:rsidR="00243940" w:rsidRDefault="00243940" w:rsidP="008841B4">
      <w:pPr>
        <w:spacing w:after="263" w:line="249" w:lineRule="auto"/>
        <w:jc w:val="both"/>
      </w:pPr>
      <w:r w:rsidRPr="00655BBC">
        <w:t xml:space="preserve">A hulladékgazdálkodási közszolgáltatási résztevékenység igénybevételének szüneteltetésére </w:t>
      </w:r>
      <w:r w:rsidRPr="007C04D5">
        <w:rPr>
          <w:b/>
        </w:rPr>
        <w:t>kizárólag a saját használatú Gyűjtőedénnyel rendelkező Egyéni Előfizetők</w:t>
      </w:r>
      <w:r w:rsidRPr="00655BBC">
        <w:t xml:space="preserve"> (beleértve azon Egyéni Előfizető Gazdálkodó Szervezeteket is, amelyek tevékenységüket a társasházhoz tartozó ingatlanban folytatják) jogosultak. </w:t>
      </w:r>
      <w:r>
        <w:t xml:space="preserve">Ha az ilyen Egyéni Előfizető egyben szüneteltetni is kíván, köteles előbb az Egyéni előfizetői regisztráláshoz szükséges szabályoknak megfelelni, azaz edényt beszerezni, igazolni és szelektív edényt átvenni. </w:t>
      </w:r>
    </w:p>
    <w:p w:rsidR="00243940" w:rsidRDefault="00243940" w:rsidP="008841B4">
      <w:pPr>
        <w:spacing w:after="263" w:line="249" w:lineRule="auto"/>
        <w:jc w:val="both"/>
      </w:pPr>
      <w:r>
        <w:t xml:space="preserve">Ott, ahol a társasház közösségi előfizetőként veszi igénybe a szolgáltatást, azaz közös gyűjtőedény van, </w:t>
      </w:r>
      <w:r w:rsidRPr="007C04D5">
        <w:rPr>
          <w:b/>
        </w:rPr>
        <w:t>a jövőben nem lehet a szolgáltatást szüneteltetni</w:t>
      </w:r>
      <w:r>
        <w:t>. A Társasház belső szabályzataiban azonban lehetőséget adhat ennek a belső elszámolására a díj felosztásának meghatározásakor. Ez azonban a szolgáltató hatáskörén kívül álló szabályozás.</w:t>
      </w:r>
    </w:p>
    <w:p w:rsidR="00243940" w:rsidRDefault="00243940" w:rsidP="008841B4">
      <w:pPr>
        <w:spacing w:after="263" w:line="249" w:lineRule="auto"/>
        <w:jc w:val="both"/>
        <w:rPr>
          <w:highlight w:val="yellow"/>
        </w:rPr>
      </w:pPr>
      <w:r>
        <w:t xml:space="preserve">A teljes társasház tekintetében a hulladékgazdálkodási közszolgáltatási résztevékenység igénybevételének szüneteltetésére kizárólag a közös képviselő jogosult. </w:t>
      </w:r>
    </w:p>
    <w:p w:rsidR="00243940" w:rsidRPr="00655BBC" w:rsidRDefault="00243940" w:rsidP="008841B4">
      <w:pPr>
        <w:spacing w:after="263" w:line="249" w:lineRule="auto"/>
        <w:jc w:val="both"/>
        <w:rPr>
          <w:highlight w:val="yellow"/>
        </w:rPr>
      </w:pPr>
      <w:r>
        <w:t>A Hulladékgazdálkodási közszolgáltatási résztevékenység Egyéni Előfizetőként történő igénybevétele esetén az Egyéni Előfizetőre az Ingatlanhasználóra vonatkozó rendelkezések irányadóak.</w:t>
      </w:r>
    </w:p>
    <w:p w:rsidR="00243940" w:rsidRPr="00923B29" w:rsidRDefault="00243940" w:rsidP="008841B4">
      <w:pPr>
        <w:spacing w:after="263" w:line="249" w:lineRule="auto"/>
        <w:jc w:val="both"/>
        <w:rPr>
          <w:b/>
        </w:rPr>
      </w:pPr>
      <w:r w:rsidRPr="0086032C">
        <w:rPr>
          <w:b/>
        </w:rPr>
        <w:t>Társasházi Közösségi Előfizetőként</w:t>
      </w:r>
      <w:r>
        <w:t xml:space="preserve"> a közösségi szolgáltatás miatt csak abban az esetben van lehetőség szüneteltetésre, amennyiben megfelelő dokumentumokkal igazolják, hogy </w:t>
      </w:r>
      <w:r w:rsidRPr="0086032C">
        <w:rPr>
          <w:b/>
        </w:rPr>
        <w:t xml:space="preserve">a társasház építési bontási munkálatok miatt teljesen lakatlan. </w:t>
      </w:r>
    </w:p>
    <w:sectPr w:rsidR="00243940" w:rsidRPr="00923B29" w:rsidSect="00541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80"/>
    <w:multiLevelType w:val="hybridMultilevel"/>
    <w:tmpl w:val="95D455F8"/>
    <w:lvl w:ilvl="0" w:tplc="A678DCD8">
      <w:start w:val="1"/>
      <w:numFmt w:val="lowerRoman"/>
      <w:lvlRestart w:val="0"/>
      <w:lvlText w:val="(%1)"/>
      <w:lvlJc w:val="left"/>
      <w:pPr>
        <w:ind w:left="33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F0A0BF6">
      <w:start w:val="1"/>
      <w:numFmt w:val="lowerLetter"/>
      <w:lvlText w:val="%2"/>
      <w:lvlJc w:val="left"/>
      <w:pPr>
        <w:ind w:left="37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2B43C9A">
      <w:start w:val="1"/>
      <w:numFmt w:val="lowerRoman"/>
      <w:lvlText w:val="%3"/>
      <w:lvlJc w:val="left"/>
      <w:pPr>
        <w:ind w:left="44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42354C">
      <w:start w:val="1"/>
      <w:numFmt w:val="decimal"/>
      <w:lvlText w:val="%4"/>
      <w:lvlJc w:val="left"/>
      <w:pPr>
        <w:ind w:left="52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3087EE8">
      <w:start w:val="1"/>
      <w:numFmt w:val="lowerLetter"/>
      <w:lvlText w:val="%5"/>
      <w:lvlJc w:val="left"/>
      <w:pPr>
        <w:ind w:left="592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55A7484">
      <w:start w:val="1"/>
      <w:numFmt w:val="lowerRoman"/>
      <w:lvlText w:val="%6"/>
      <w:lvlJc w:val="left"/>
      <w:pPr>
        <w:ind w:left="664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B10D160">
      <w:start w:val="1"/>
      <w:numFmt w:val="decimal"/>
      <w:lvlText w:val="%7"/>
      <w:lvlJc w:val="left"/>
      <w:pPr>
        <w:ind w:left="736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20A811E">
      <w:start w:val="1"/>
      <w:numFmt w:val="lowerLetter"/>
      <w:lvlText w:val="%8"/>
      <w:lvlJc w:val="left"/>
      <w:pPr>
        <w:ind w:left="80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7F42B10">
      <w:start w:val="1"/>
      <w:numFmt w:val="lowerRoman"/>
      <w:lvlText w:val="%9"/>
      <w:lvlJc w:val="left"/>
      <w:pPr>
        <w:ind w:left="88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171C4794"/>
    <w:multiLevelType w:val="hybridMultilevel"/>
    <w:tmpl w:val="94540206"/>
    <w:lvl w:ilvl="0" w:tplc="EC70163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300160E">
      <w:start w:val="1"/>
      <w:numFmt w:val="lowerLetter"/>
      <w:lvlText w:val="%2"/>
      <w:lvlJc w:val="left"/>
      <w:pPr>
        <w:ind w:left="5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3089324">
      <w:start w:val="1"/>
      <w:numFmt w:val="lowerRoman"/>
      <w:lvlText w:val="%3"/>
      <w:lvlJc w:val="left"/>
      <w:pPr>
        <w:ind w:left="8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4ECC014">
      <w:start w:val="1"/>
      <w:numFmt w:val="decimal"/>
      <w:lvlText w:val="%4"/>
      <w:lvlJc w:val="left"/>
      <w:pPr>
        <w:ind w:left="103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09E26F6">
      <w:start w:val="1"/>
      <w:numFmt w:val="lowerLetter"/>
      <w:lvlText w:val="%5"/>
      <w:lvlJc w:val="left"/>
      <w:pPr>
        <w:ind w:left="12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10EC968">
      <w:start w:val="1"/>
      <w:numFmt w:val="lowerLetter"/>
      <w:lvlRestart w:val="0"/>
      <w:lvlText w:val="(%6)"/>
      <w:lvlJc w:val="left"/>
      <w:pPr>
        <w:ind w:left="43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E18DD5A">
      <w:start w:val="1"/>
      <w:numFmt w:val="decimal"/>
      <w:lvlText w:val="%7"/>
      <w:lvlJc w:val="left"/>
      <w:pPr>
        <w:ind w:left="22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0D4AD7A">
      <w:start w:val="1"/>
      <w:numFmt w:val="lowerLetter"/>
      <w:lvlText w:val="%8"/>
      <w:lvlJc w:val="left"/>
      <w:pPr>
        <w:ind w:left="29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F8ABAAC">
      <w:start w:val="1"/>
      <w:numFmt w:val="lowerRoman"/>
      <w:lvlText w:val="%9"/>
      <w:lvlJc w:val="left"/>
      <w:pPr>
        <w:ind w:left="36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24F51504"/>
    <w:multiLevelType w:val="hybridMultilevel"/>
    <w:tmpl w:val="DC3A56BA"/>
    <w:lvl w:ilvl="0" w:tplc="AA9498C2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9E17AA">
      <w:start w:val="1"/>
      <w:numFmt w:val="lowerLetter"/>
      <w:lvlText w:val="%2"/>
      <w:lvlJc w:val="left"/>
      <w:pPr>
        <w:ind w:left="67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888E7AA">
      <w:start w:val="1"/>
      <w:numFmt w:val="lowerRoman"/>
      <w:lvlText w:val="%3"/>
      <w:lvlJc w:val="left"/>
      <w:pPr>
        <w:ind w:left="9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D60ECA4">
      <w:start w:val="1"/>
      <w:numFmt w:val="decimal"/>
      <w:lvlText w:val="%4"/>
      <w:lvlJc w:val="left"/>
      <w:pPr>
        <w:ind w:left="131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53C29B2">
      <w:start w:val="1"/>
      <w:numFmt w:val="lowerLetter"/>
      <w:lvlText w:val="%5"/>
      <w:lvlJc w:val="left"/>
      <w:pPr>
        <w:ind w:left="16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E361624">
      <w:start w:val="1"/>
      <w:numFmt w:val="lowerRoman"/>
      <w:lvlText w:val="%6"/>
      <w:lvlJc w:val="left"/>
      <w:pPr>
        <w:ind w:left="19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D864D7E">
      <w:start w:val="1"/>
      <w:numFmt w:val="decimal"/>
      <w:lvlText w:val="%7"/>
      <w:lvlJc w:val="left"/>
      <w:pPr>
        <w:ind w:left="22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B721276">
      <w:start w:val="1"/>
      <w:numFmt w:val="lowerLetter"/>
      <w:lvlText w:val="%8"/>
      <w:lvlJc w:val="left"/>
      <w:pPr>
        <w:ind w:left="25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22D8FC">
      <w:start w:val="1"/>
      <w:numFmt w:val="lowerRoman"/>
      <w:lvlRestart w:val="0"/>
      <w:lvlText w:val="(%9)"/>
      <w:lvlJc w:val="left"/>
      <w:pPr>
        <w:ind w:left="46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>
    <w:nsid w:val="2A7169DE"/>
    <w:multiLevelType w:val="hybridMultilevel"/>
    <w:tmpl w:val="06DC7A44"/>
    <w:lvl w:ilvl="0" w:tplc="3A4C06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F7E5F"/>
    <w:multiLevelType w:val="hybridMultilevel"/>
    <w:tmpl w:val="92763D08"/>
    <w:lvl w:ilvl="0" w:tplc="D1B0D272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7C63EB2">
      <w:start w:val="1"/>
      <w:numFmt w:val="lowerLetter"/>
      <w:lvlText w:val="%2"/>
      <w:lvlJc w:val="left"/>
      <w:pPr>
        <w:ind w:left="6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330270E">
      <w:start w:val="1"/>
      <w:numFmt w:val="lowerRoman"/>
      <w:lvlText w:val="%3"/>
      <w:lvlJc w:val="left"/>
      <w:pPr>
        <w:ind w:left="92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7BCB52E">
      <w:start w:val="1"/>
      <w:numFmt w:val="decimal"/>
      <w:lvlText w:val="%4"/>
      <w:lvlJc w:val="left"/>
      <w:pPr>
        <w:ind w:left="12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500C458">
      <w:start w:val="1"/>
      <w:numFmt w:val="lowerLetter"/>
      <w:lvlText w:val="%5"/>
      <w:lvlJc w:val="left"/>
      <w:pPr>
        <w:ind w:left="14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02CD130">
      <w:start w:val="1"/>
      <w:numFmt w:val="lowerRoman"/>
      <w:lvlText w:val="%6"/>
      <w:lvlJc w:val="left"/>
      <w:pPr>
        <w:ind w:left="17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B920482">
      <w:start w:val="1"/>
      <w:numFmt w:val="decimal"/>
      <w:lvlText w:val="%7"/>
      <w:lvlJc w:val="left"/>
      <w:pPr>
        <w:ind w:left="20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71A0796">
      <w:start w:val="1"/>
      <w:numFmt w:val="lowerLetter"/>
      <w:lvlRestart w:val="0"/>
      <w:lvlText w:val="(%8)"/>
      <w:lvlJc w:val="left"/>
      <w:pPr>
        <w:ind w:left="425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9A8D822">
      <w:start w:val="1"/>
      <w:numFmt w:val="lowerRoman"/>
      <w:lvlText w:val="%9"/>
      <w:lvlJc w:val="left"/>
      <w:pPr>
        <w:ind w:left="30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7B3B4AED"/>
    <w:multiLevelType w:val="hybridMultilevel"/>
    <w:tmpl w:val="3AD44732"/>
    <w:lvl w:ilvl="0" w:tplc="CC4C2564">
      <w:start w:val="1"/>
      <w:numFmt w:val="lowerLetter"/>
      <w:lvlRestart w:val="0"/>
      <w:lvlText w:val="(%1)"/>
      <w:lvlJc w:val="left"/>
      <w:pPr>
        <w:ind w:left="43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C9AAF94">
      <w:start w:val="1"/>
      <w:numFmt w:val="lowerLetter"/>
      <w:lvlText w:val="%2"/>
      <w:lvlJc w:val="left"/>
      <w:pPr>
        <w:ind w:left="38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720C488">
      <w:start w:val="1"/>
      <w:numFmt w:val="lowerRoman"/>
      <w:lvlText w:val="%3"/>
      <w:lvlJc w:val="left"/>
      <w:pPr>
        <w:ind w:left="45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CE6E8A6">
      <w:start w:val="1"/>
      <w:numFmt w:val="decimal"/>
      <w:lvlText w:val="%4"/>
      <w:lvlJc w:val="left"/>
      <w:pPr>
        <w:ind w:left="52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CCE5ED2">
      <w:start w:val="1"/>
      <w:numFmt w:val="lowerLetter"/>
      <w:lvlText w:val="%5"/>
      <w:lvlJc w:val="left"/>
      <w:pPr>
        <w:ind w:left="59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746D086">
      <w:start w:val="1"/>
      <w:numFmt w:val="lowerRoman"/>
      <w:lvlText w:val="%6"/>
      <w:lvlJc w:val="left"/>
      <w:pPr>
        <w:ind w:left="67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4B406CC">
      <w:start w:val="1"/>
      <w:numFmt w:val="decimal"/>
      <w:lvlText w:val="%7"/>
      <w:lvlJc w:val="left"/>
      <w:pPr>
        <w:ind w:left="74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1846B26">
      <w:start w:val="1"/>
      <w:numFmt w:val="lowerLetter"/>
      <w:lvlText w:val="%8"/>
      <w:lvlJc w:val="left"/>
      <w:pPr>
        <w:ind w:left="81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8CA6000">
      <w:start w:val="1"/>
      <w:numFmt w:val="lowerRoman"/>
      <w:lvlText w:val="%9"/>
      <w:lvlJc w:val="left"/>
      <w:pPr>
        <w:ind w:left="88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7B7E6777"/>
    <w:multiLevelType w:val="multilevel"/>
    <w:tmpl w:val="2234AD10"/>
    <w:lvl w:ilvl="0">
      <w:start w:val="4"/>
      <w:numFmt w:val="decimal"/>
      <w:lvlText w:val="%1."/>
      <w:lvlJc w:val="left"/>
      <w:pPr>
        <w:ind w:left="16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699"/>
      </w:pPr>
      <w:rPr>
        <w:rFonts w:ascii="Calibri" w:eastAsia="Times New Roman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260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369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9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D48"/>
    <w:rsid w:val="0012481A"/>
    <w:rsid w:val="00243940"/>
    <w:rsid w:val="003B4563"/>
    <w:rsid w:val="003B5B5E"/>
    <w:rsid w:val="003C7E98"/>
    <w:rsid w:val="00413C65"/>
    <w:rsid w:val="00541650"/>
    <w:rsid w:val="00595EB5"/>
    <w:rsid w:val="005F43CF"/>
    <w:rsid w:val="00610D48"/>
    <w:rsid w:val="00655BBC"/>
    <w:rsid w:val="00692A4F"/>
    <w:rsid w:val="006F7913"/>
    <w:rsid w:val="007151D7"/>
    <w:rsid w:val="007C04D5"/>
    <w:rsid w:val="007E39BD"/>
    <w:rsid w:val="0086032C"/>
    <w:rsid w:val="008841B4"/>
    <w:rsid w:val="008B7790"/>
    <w:rsid w:val="00923B29"/>
    <w:rsid w:val="00A629EB"/>
    <w:rsid w:val="00A64AB1"/>
    <w:rsid w:val="00B424C6"/>
    <w:rsid w:val="00BA79E9"/>
    <w:rsid w:val="00BE12B7"/>
    <w:rsid w:val="00C24A4A"/>
    <w:rsid w:val="00CE143E"/>
    <w:rsid w:val="00D36744"/>
    <w:rsid w:val="00E63D6A"/>
    <w:rsid w:val="00F13C3F"/>
    <w:rsid w:val="00FB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10D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0D48"/>
    <w:pPr>
      <w:spacing w:after="263" w:line="240" w:lineRule="auto"/>
      <w:ind w:left="997" w:hanging="10"/>
      <w:jc w:val="both"/>
    </w:pPr>
    <w:rPr>
      <w:rFonts w:cs="Calibri"/>
      <w:color w:val="000000"/>
      <w:kern w:val="2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0D48"/>
    <w:rPr>
      <w:rFonts w:ascii="Calibri" w:eastAsia="Times New Roman" w:hAnsi="Calibri" w:cs="Calibri"/>
      <w:color w:val="000000"/>
      <w:kern w:val="2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1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10D4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3B29"/>
    <w:pPr>
      <w:spacing w:after="160"/>
      <w:ind w:left="0" w:firstLine="0"/>
      <w:jc w:val="left"/>
    </w:pPr>
    <w:rPr>
      <w:rFonts w:cs="Times New Roman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3B29"/>
    <w:rPr>
      <w:b/>
      <w:bCs/>
    </w:rPr>
  </w:style>
  <w:style w:type="paragraph" w:customStyle="1" w:styleId="Stlus1">
    <w:name w:val="Stílus1"/>
    <w:basedOn w:val="Normal"/>
    <w:uiPriority w:val="99"/>
    <w:rsid w:val="00BA79E9"/>
    <w:pPr>
      <w:suppressAutoHyphens/>
      <w:autoSpaceDN w:val="0"/>
      <w:spacing w:after="0" w:line="240" w:lineRule="auto"/>
      <w:jc w:val="both"/>
      <w:textAlignment w:val="baseline"/>
    </w:pPr>
    <w:rPr>
      <w:rFonts w:ascii="Tahoma" w:hAnsi="Tahoma" w:cs="Tahoma"/>
      <w:kern w:val="3"/>
      <w:sz w:val="2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1139</Words>
  <Characters>7866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HULLADÉKGAZDÁLKODÁSI KÖZSZOLGÁLTATÁSI RÉSZTEVÉKENYSÉG </dc:title>
  <dc:subject/>
  <dc:creator>Dr. Fogas Tímea</dc:creator>
  <cp:keywords/>
  <dc:description/>
  <cp:lastModifiedBy>ik</cp:lastModifiedBy>
  <cp:revision>2</cp:revision>
  <cp:lastPrinted>2024-09-19T09:51:00Z</cp:lastPrinted>
  <dcterms:created xsi:type="dcterms:W3CDTF">2024-10-24T07:05:00Z</dcterms:created>
  <dcterms:modified xsi:type="dcterms:W3CDTF">2024-10-24T07:05:00Z</dcterms:modified>
</cp:coreProperties>
</file>